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E7F" w:rsidRPr="00E960BB" w:rsidRDefault="00287E7F" w:rsidP="00287E7F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287E7F" w:rsidRPr="009C54AE" w:rsidRDefault="00287E7F" w:rsidP="00287E7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87E7F" w:rsidRDefault="00287E7F" w:rsidP="00287E7F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2023-2026</w:t>
      </w:r>
    </w:p>
    <w:p w:rsidR="00287E7F" w:rsidRDefault="00287E7F" w:rsidP="00287E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87E7F" w:rsidRPr="00780DAE" w:rsidRDefault="00287E7F" w:rsidP="00287E7F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80DAE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3</w:t>
      </w:r>
      <w:r w:rsidRPr="00780DAE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</w:p>
    <w:p w:rsidR="00287E7F" w:rsidRPr="009C54AE" w:rsidRDefault="00287E7F" w:rsidP="00287E7F">
      <w:pPr>
        <w:spacing w:after="0" w:line="240" w:lineRule="auto"/>
        <w:rPr>
          <w:rFonts w:ascii="Corbel" w:hAnsi="Corbel"/>
          <w:sz w:val="24"/>
          <w:szCs w:val="24"/>
        </w:rPr>
      </w:pP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87E7F" w:rsidRPr="00780D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80DAE">
              <w:rPr>
                <w:rFonts w:ascii="Corbel" w:hAnsi="Corbel"/>
                <w:sz w:val="24"/>
                <w:szCs w:val="24"/>
              </w:rPr>
              <w:t>Wybrane elementy psychiatrii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8B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87E7F" w:rsidRPr="00780D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80DAE"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 Asystent osoby niepełnosprawnej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Andrzej Łukasik</w:t>
            </w:r>
          </w:p>
        </w:tc>
      </w:tr>
      <w:tr w:rsidR="00287E7F" w:rsidRPr="009C54AE" w:rsidTr="002829F9">
        <w:tc>
          <w:tcPr>
            <w:tcW w:w="2694" w:type="dxa"/>
            <w:vAlign w:val="center"/>
          </w:tcPr>
          <w:p w:rsidR="00287E7F" w:rsidRPr="009C54AE" w:rsidRDefault="00287E7F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87E7F" w:rsidRPr="009C54AE" w:rsidRDefault="00287E7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87E7F" w:rsidRPr="009C54AE" w:rsidRDefault="00287E7F" w:rsidP="00287E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287E7F" w:rsidRPr="009C54AE" w:rsidRDefault="00287E7F" w:rsidP="00287E7F">
      <w:pPr>
        <w:pStyle w:val="Podpunkty"/>
        <w:ind w:left="0"/>
        <w:rPr>
          <w:rFonts w:ascii="Corbel" w:hAnsi="Corbel"/>
          <w:sz w:val="24"/>
          <w:szCs w:val="24"/>
        </w:rPr>
      </w:pPr>
    </w:p>
    <w:p w:rsidR="00287E7F" w:rsidRPr="009C54AE" w:rsidRDefault="00287E7F" w:rsidP="00287E7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87E7F" w:rsidRPr="009C54AE" w:rsidRDefault="00287E7F" w:rsidP="00287E7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287E7F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E7F" w:rsidRPr="009C54AE" w:rsidRDefault="00287E7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87E7F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7F" w:rsidRPr="009C54AE" w:rsidRDefault="00287E7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87E7F" w:rsidRPr="009C54AE" w:rsidRDefault="00287E7F" w:rsidP="00287E7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87E7F" w:rsidRPr="009C54AE" w:rsidRDefault="00287E7F" w:rsidP="00287E7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87E7F" w:rsidRDefault="00287E7F" w:rsidP="00287E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287E7F" w:rsidRPr="009C54AE" w:rsidRDefault="00287E7F" w:rsidP="00287E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:rsidR="00287E7F" w:rsidRPr="00DA4EBE" w:rsidRDefault="00287E7F" w:rsidP="00287E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287E7F" w:rsidRPr="009C54AE" w:rsidRDefault="00287E7F" w:rsidP="00287E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87E7F" w:rsidRPr="009C54AE" w:rsidRDefault="00287E7F" w:rsidP="00287E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87E7F" w:rsidRDefault="00287E7F" w:rsidP="00287E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7E7F" w:rsidRDefault="00287E7F" w:rsidP="00287E7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287E7F" w:rsidRDefault="00287E7F" w:rsidP="00287E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87E7F" w:rsidRPr="009C54AE" w:rsidTr="002829F9">
        <w:tc>
          <w:tcPr>
            <w:tcW w:w="9670" w:type="dxa"/>
          </w:tcPr>
          <w:p w:rsidR="00287E7F" w:rsidRPr="009C54AE" w:rsidRDefault="00287E7F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 pedagogiki, psychologii ogólnej</w:t>
            </w:r>
          </w:p>
        </w:tc>
      </w:tr>
    </w:tbl>
    <w:p w:rsidR="00287E7F" w:rsidRDefault="00287E7F" w:rsidP="00287E7F">
      <w:pPr>
        <w:pStyle w:val="Punktygwne"/>
        <w:spacing w:before="0" w:after="0"/>
        <w:rPr>
          <w:rFonts w:ascii="Corbel" w:hAnsi="Corbel"/>
          <w:szCs w:val="24"/>
        </w:rPr>
      </w:pPr>
    </w:p>
    <w:p w:rsidR="00287E7F" w:rsidRDefault="00287E7F" w:rsidP="00287E7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287E7F" w:rsidRDefault="00287E7F" w:rsidP="00287E7F">
      <w:pPr>
        <w:pStyle w:val="Punktygwne"/>
        <w:spacing w:before="0" w:after="0"/>
        <w:rPr>
          <w:rFonts w:ascii="Corbel" w:hAnsi="Corbel"/>
          <w:szCs w:val="24"/>
        </w:rPr>
      </w:pPr>
    </w:p>
    <w:p w:rsidR="00287E7F" w:rsidRPr="00C05F44" w:rsidRDefault="00287E7F" w:rsidP="00287E7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287E7F" w:rsidRPr="00C05F44" w:rsidRDefault="00287E7F" w:rsidP="00287E7F">
      <w:pPr>
        <w:pStyle w:val="Punktygwne"/>
        <w:spacing w:before="0" w:after="0"/>
        <w:rPr>
          <w:rFonts w:ascii="Corbel" w:hAnsi="Corbel"/>
          <w:szCs w:val="24"/>
        </w:rPr>
      </w:pPr>
    </w:p>
    <w:p w:rsidR="00287E7F" w:rsidRDefault="00287E7F" w:rsidP="00287E7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287E7F" w:rsidRPr="009C54AE" w:rsidRDefault="00287E7F" w:rsidP="00287E7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287E7F" w:rsidRPr="009C54AE" w:rsidTr="002829F9">
        <w:tc>
          <w:tcPr>
            <w:tcW w:w="851" w:type="dxa"/>
            <w:vAlign w:val="center"/>
          </w:tcPr>
          <w:p w:rsidR="00287E7F" w:rsidRPr="009C54AE" w:rsidRDefault="00287E7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87E7F" w:rsidRPr="004E7A06" w:rsidRDefault="00287E7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E7A0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studenta z podstawowymi zagadnieniami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psychiatrii oraz </w:t>
            </w:r>
            <w:r w:rsidRPr="004E7A0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psychopatologii: pojęciem normalności w  dziedzinie zdrowia psychicznego,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klasyfikacjami zaburzeń psychicznych oraz </w:t>
            </w:r>
            <w:r w:rsidRPr="004E7A06">
              <w:rPr>
                <w:rFonts w:ascii="Corbel" w:hAnsi="Corbel"/>
                <w:b w:val="0"/>
                <w:bCs/>
                <w:sz w:val="24"/>
                <w:szCs w:val="24"/>
              </w:rPr>
              <w:t>z symptomami i zespołami zaburzeń psychicznych</w:t>
            </w:r>
          </w:p>
        </w:tc>
      </w:tr>
      <w:tr w:rsidR="00287E7F" w:rsidRPr="009C54AE" w:rsidTr="002829F9">
        <w:tc>
          <w:tcPr>
            <w:tcW w:w="851" w:type="dxa"/>
            <w:vAlign w:val="center"/>
          </w:tcPr>
          <w:p w:rsidR="00287E7F" w:rsidRPr="009C54AE" w:rsidRDefault="00287E7F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287E7F" w:rsidRPr="00BC02DF" w:rsidRDefault="00287E7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C02D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studenta z zaburzeniami psychicznymi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okresu </w:t>
            </w:r>
            <w:r w:rsidRPr="00BC02DF">
              <w:rPr>
                <w:rFonts w:ascii="Corbel" w:hAnsi="Corbel"/>
                <w:b w:val="0"/>
                <w:bCs/>
                <w:sz w:val="24"/>
                <w:szCs w:val="24"/>
              </w:rPr>
              <w:t>dzieciństwa, adolescencji oraz dorosłości, ich etiologią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</w:t>
            </w:r>
            <w:r w:rsidRPr="00BC02D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obrazem klinicznym </w:t>
            </w:r>
          </w:p>
        </w:tc>
      </w:tr>
      <w:tr w:rsidR="00287E7F" w:rsidRPr="009C54AE" w:rsidTr="002829F9">
        <w:tc>
          <w:tcPr>
            <w:tcW w:w="851" w:type="dxa"/>
            <w:vAlign w:val="center"/>
          </w:tcPr>
          <w:p w:rsidR="00287E7F" w:rsidRPr="009C54AE" w:rsidRDefault="00287E7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287E7F" w:rsidRPr="009C54AE" w:rsidRDefault="00287E7F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02D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różnymi </w:t>
            </w:r>
            <w:r w:rsidRPr="00BC02DF">
              <w:rPr>
                <w:rFonts w:ascii="Corbel" w:hAnsi="Corbel"/>
                <w:b w:val="0"/>
                <w:bCs/>
                <w:sz w:val="24"/>
                <w:szCs w:val="24"/>
              </w:rPr>
              <w:t>z formami terapii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zaburzeń psychicznych</w:t>
            </w:r>
          </w:p>
        </w:tc>
      </w:tr>
    </w:tbl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87E7F" w:rsidRDefault="00287E7F" w:rsidP="00287E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87E7F" w:rsidRPr="009C54AE" w:rsidRDefault="00287E7F" w:rsidP="00287E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="00287E7F" w:rsidRPr="009C54AE" w:rsidTr="002829F9">
        <w:tc>
          <w:tcPr>
            <w:tcW w:w="1681" w:type="dxa"/>
            <w:vAlign w:val="center"/>
          </w:tcPr>
          <w:p w:rsidR="00287E7F" w:rsidRPr="009C54AE" w:rsidRDefault="00287E7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287E7F" w:rsidRPr="009C54AE" w:rsidRDefault="00287E7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287E7F" w:rsidRPr="009C54AE" w:rsidRDefault="00287E7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7E7F" w:rsidRPr="009C54AE" w:rsidTr="002829F9">
        <w:tc>
          <w:tcPr>
            <w:tcW w:w="1681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287E7F" w:rsidRPr="009C54AE" w:rsidRDefault="00287E7F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 </w:t>
            </w:r>
            <w:r w:rsidRPr="000910CF">
              <w:rPr>
                <w:rFonts w:ascii="Corbel" w:hAnsi="Corbel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podmiotowe i metodologiczne powiązania wiedzy z zakresu nauk o rodzinie z psychologią, psychiatrią i psychopatologią, różnicuje normę i patologię w zachowaniu ludzkim.</w:t>
            </w:r>
          </w:p>
        </w:tc>
        <w:tc>
          <w:tcPr>
            <w:tcW w:w="1865" w:type="dxa"/>
          </w:tcPr>
          <w:p w:rsidR="00287E7F" w:rsidRPr="006F0031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F0031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</w:tc>
      </w:tr>
      <w:tr w:rsidR="00287E7F" w:rsidRPr="009C54AE" w:rsidTr="002829F9">
        <w:tc>
          <w:tcPr>
            <w:tcW w:w="1681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287E7F" w:rsidRPr="009C54AE" w:rsidRDefault="00287E7F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biologiczne i zdrowotne aspekty rozwoju człowieka, społeczne funkcjonowanie jednostki i grupy, teorie osobowości, problematykę więzi i relacji w rodzinie, poradnictwo na różnych etapach życia małżeństwa i rodziny.</w:t>
            </w:r>
          </w:p>
        </w:tc>
        <w:tc>
          <w:tcPr>
            <w:tcW w:w="186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031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</w:tr>
      <w:tr w:rsidR="00287E7F" w:rsidRPr="009C54AE" w:rsidTr="002829F9">
        <w:tc>
          <w:tcPr>
            <w:tcW w:w="1681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287E7F" w:rsidRPr="009C54AE" w:rsidRDefault="00287E7F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i selekcji informacji związanych z biologicznym rozwojem jednostki oraz oceni jej funkcjonowanie społeczne, zwłaszcza w środowisku rodzinnym, rozumie różne aspekty psychologii klinicznej i psychiatrii umożliwiających porozumienie i współpracę z psychologiem i lekarzem.</w:t>
            </w:r>
          </w:p>
        </w:tc>
        <w:tc>
          <w:tcPr>
            <w:tcW w:w="186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031">
              <w:rPr>
                <w:rFonts w:ascii="Corbel" w:hAnsi="Corbel"/>
                <w:b w:val="0"/>
                <w:bCs/>
                <w:szCs w:val="24"/>
              </w:rPr>
              <w:t>K</w:t>
            </w:r>
            <w:r>
              <w:rPr>
                <w:rFonts w:ascii="Corbel" w:hAnsi="Corbel"/>
                <w:b w:val="0"/>
                <w:bCs/>
                <w:szCs w:val="24"/>
              </w:rPr>
              <w:t>_U</w:t>
            </w:r>
            <w:r w:rsidRPr="006F0031">
              <w:rPr>
                <w:rFonts w:ascii="Corbel" w:hAnsi="Corbel"/>
                <w:b w:val="0"/>
                <w:bCs/>
                <w:szCs w:val="24"/>
              </w:rPr>
              <w:t>0</w:t>
            </w:r>
            <w:r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287E7F" w:rsidRPr="009C54AE" w:rsidTr="002829F9">
        <w:tc>
          <w:tcPr>
            <w:tcW w:w="1681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:rsidR="00287E7F" w:rsidRPr="009C54AE" w:rsidRDefault="00287E7F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przydatność różnych metod, procedur, dobrych praktyk w zakresie rozwiązywania problemów poszczególnych członków rodziny (problemy zdrowotne, związane z przewlekłą chorobą, niepełnosprawnością) oraz rodziny jako systemu, orientuje się w różnych koncepcjach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dotyczących genezy i terapii zaburzeń psychicznych, prowadzenia rozmów z osobami potrzebującymi wsparcia.</w:t>
            </w:r>
          </w:p>
        </w:tc>
        <w:tc>
          <w:tcPr>
            <w:tcW w:w="186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031">
              <w:rPr>
                <w:rFonts w:ascii="Corbel" w:hAnsi="Corbel"/>
                <w:b w:val="0"/>
                <w:bCs/>
                <w:szCs w:val="24"/>
              </w:rPr>
              <w:lastRenderedPageBreak/>
              <w:t>K</w:t>
            </w:r>
            <w:r>
              <w:rPr>
                <w:rFonts w:ascii="Corbel" w:hAnsi="Corbel"/>
                <w:b w:val="0"/>
                <w:bCs/>
                <w:szCs w:val="24"/>
              </w:rPr>
              <w:t>_U</w:t>
            </w:r>
            <w:r w:rsidRPr="006F0031">
              <w:rPr>
                <w:rFonts w:ascii="Corbel" w:hAnsi="Corbel"/>
                <w:b w:val="0"/>
                <w:bCs/>
                <w:szCs w:val="24"/>
              </w:rPr>
              <w:t>0</w:t>
            </w:r>
            <w:r>
              <w:rPr>
                <w:rFonts w:ascii="Corbel" w:hAnsi="Corbel"/>
                <w:b w:val="0"/>
                <w:bCs/>
                <w:szCs w:val="24"/>
              </w:rPr>
              <w:t>9</w:t>
            </w:r>
          </w:p>
        </w:tc>
      </w:tr>
      <w:tr w:rsidR="00287E7F" w:rsidRPr="00CF7A30" w:rsidTr="002829F9">
        <w:tc>
          <w:tcPr>
            <w:tcW w:w="1681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:rsidR="00287E7F" w:rsidRPr="009C54AE" w:rsidRDefault="00287E7F" w:rsidP="002829F9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Sformułuje swoje stanowisko dotyczące funkcjonowania rodziny, z wykorzystaniem poglądów innych autorów odwołujących się do interdyscyplinarnych źródeł naukowych, ma umiejętność rozpoznawania konfliktów i kryzysów, opracowywania strategii rozwiązywania kryzysów.</w:t>
            </w:r>
          </w:p>
        </w:tc>
        <w:tc>
          <w:tcPr>
            <w:tcW w:w="186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031">
              <w:rPr>
                <w:rFonts w:ascii="Corbel" w:hAnsi="Corbel"/>
                <w:b w:val="0"/>
                <w:bCs/>
                <w:szCs w:val="24"/>
              </w:rPr>
              <w:t>K</w:t>
            </w:r>
            <w:r>
              <w:rPr>
                <w:rFonts w:ascii="Corbel" w:hAnsi="Corbel"/>
                <w:b w:val="0"/>
                <w:bCs/>
                <w:szCs w:val="24"/>
              </w:rPr>
              <w:t>_U1</w:t>
            </w:r>
            <w:r w:rsidRPr="006F0031">
              <w:rPr>
                <w:rFonts w:ascii="Corbel" w:hAnsi="Corbel"/>
                <w:b w:val="0"/>
                <w:bCs/>
                <w:szCs w:val="24"/>
              </w:rPr>
              <w:t>0</w:t>
            </w:r>
          </w:p>
        </w:tc>
      </w:tr>
      <w:tr w:rsidR="00287E7F" w:rsidRPr="009C54AE" w:rsidTr="002829F9">
        <w:tc>
          <w:tcPr>
            <w:tcW w:w="1681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="00287E7F" w:rsidRPr="00850039" w:rsidRDefault="00287E7F" w:rsidP="002829F9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CF7A30">
              <w:rPr>
                <w:rFonts w:ascii="Corbel" w:hAnsi="Corbel"/>
                <w:sz w:val="24"/>
                <w:szCs w:val="24"/>
              </w:rPr>
              <w:t xml:space="preserve"> Dokon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CF7A30">
              <w:rPr>
                <w:rFonts w:ascii="Corbel" w:hAnsi="Corbel"/>
                <w:sz w:val="24"/>
                <w:szCs w:val="24"/>
              </w:rPr>
              <w:t xml:space="preserve"> krytycznej oceny posiadanej wiedzy i umiejętności, wskazuje właściwe formy pomocy instytucjonalnej małżeństwu i rodzinie.</w:t>
            </w:r>
          </w:p>
        </w:tc>
        <w:tc>
          <w:tcPr>
            <w:tcW w:w="186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031">
              <w:rPr>
                <w:rFonts w:ascii="Corbel" w:hAnsi="Corbel"/>
                <w:b w:val="0"/>
                <w:bCs/>
                <w:szCs w:val="24"/>
              </w:rPr>
              <w:t>K_</w:t>
            </w:r>
            <w:r>
              <w:rPr>
                <w:rFonts w:ascii="Corbel" w:hAnsi="Corbel"/>
                <w:b w:val="0"/>
                <w:bCs/>
                <w:szCs w:val="24"/>
              </w:rPr>
              <w:t>K</w:t>
            </w:r>
            <w:r w:rsidRPr="006F0031">
              <w:rPr>
                <w:rFonts w:ascii="Corbel" w:hAnsi="Corbel"/>
                <w:b w:val="0"/>
                <w:bCs/>
                <w:szCs w:val="24"/>
              </w:rPr>
              <w:t>0</w:t>
            </w:r>
            <w:r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</w:tbl>
    <w:p w:rsidR="00287E7F" w:rsidRDefault="00287E7F" w:rsidP="00287E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7E7F" w:rsidRPr="009C54AE" w:rsidRDefault="00287E7F" w:rsidP="00287E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87E7F" w:rsidRPr="009C54AE" w:rsidRDefault="00287E7F" w:rsidP="00287E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287E7F" w:rsidRPr="009C54AE" w:rsidRDefault="00287E7F" w:rsidP="00287E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5"/>
      </w:tblGrid>
      <w:tr w:rsidR="00287E7F" w:rsidRPr="009C54AE" w:rsidTr="002829F9">
        <w:tc>
          <w:tcPr>
            <w:tcW w:w="9491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normalności w dzie5dzinie zdrowia psychicznego, systemy klasyfikacji zaburzeń psychicznych ICD-10 i DSM-5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Objawy zaburzeń psychicznych: zaburzenia procesów poznawczych, zaburzenia pamięci, uwagi, procesów emocjonalnych, psychomotoryczne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Zespoły zaburzeń psychicznych: o podłożu organicznym, zaburzeń afektywnych, zespoły schizofreniczne i innych zaburzeń psychotycznych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lękowe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osobowości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neurorozwojowe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Specyficzne zaburzenia rozwoju dziecka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lękowe u dzieci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Zaburzenia afektywne 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Zaburzenia psychiczne wieku podeszłego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 od substancji psychoaktywnych</w:t>
            </w:r>
          </w:p>
        </w:tc>
      </w:tr>
      <w:tr w:rsidR="00287E7F" w:rsidRPr="009C54AE" w:rsidTr="002829F9">
        <w:tc>
          <w:tcPr>
            <w:tcW w:w="9491" w:type="dxa"/>
          </w:tcPr>
          <w:p w:rsidR="00287E7F" w:rsidRDefault="00287E7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</w:tr>
    </w:tbl>
    <w:p w:rsidR="00287E7F" w:rsidRPr="009C54AE" w:rsidRDefault="00287E7F" w:rsidP="00287E7F">
      <w:pPr>
        <w:spacing w:after="0" w:line="240" w:lineRule="auto"/>
        <w:rPr>
          <w:rFonts w:ascii="Corbel" w:hAnsi="Corbel"/>
          <w:sz w:val="24"/>
          <w:szCs w:val="24"/>
        </w:rPr>
      </w:pPr>
    </w:p>
    <w:p w:rsidR="00287E7F" w:rsidRDefault="00287E7F" w:rsidP="00287E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287E7F" w:rsidRDefault="00287E7F" w:rsidP="00287E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287E7F" w:rsidRPr="009C54AE" w:rsidRDefault="00287E7F" w:rsidP="00287E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E7F" w:rsidRDefault="00287E7F" w:rsidP="00287E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87E7F" w:rsidRPr="009C54AE" w:rsidRDefault="00287E7F" w:rsidP="00287E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287E7F" w:rsidRPr="009C54AE" w:rsidRDefault="00287E7F" w:rsidP="00287E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87E7F" w:rsidRPr="009C54AE" w:rsidRDefault="00287E7F" w:rsidP="00287E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287E7F" w:rsidRPr="009C54AE" w:rsidTr="002829F9">
        <w:tc>
          <w:tcPr>
            <w:tcW w:w="1985" w:type="dxa"/>
            <w:vAlign w:val="center"/>
          </w:tcPr>
          <w:p w:rsidR="00287E7F" w:rsidRPr="009C54AE" w:rsidRDefault="00287E7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287E7F" w:rsidRPr="009C54AE" w:rsidRDefault="00287E7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7E7F" w:rsidRPr="009C54AE" w:rsidRDefault="00287E7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87E7F" w:rsidRPr="009C54AE" w:rsidRDefault="00287E7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7E7F" w:rsidRPr="009C54AE" w:rsidRDefault="00287E7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7E7F" w:rsidRPr="009C54AE" w:rsidTr="002829F9">
        <w:tc>
          <w:tcPr>
            <w:tcW w:w="198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287E7F" w:rsidRPr="009C54AE" w:rsidTr="002829F9">
        <w:tc>
          <w:tcPr>
            <w:tcW w:w="198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287E7F" w:rsidRPr="009C54AE" w:rsidTr="002829F9">
        <w:tc>
          <w:tcPr>
            <w:tcW w:w="198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287E7F" w:rsidRPr="009C54AE" w:rsidTr="002829F9">
        <w:tc>
          <w:tcPr>
            <w:tcW w:w="198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287E7F" w:rsidRPr="009C54AE" w:rsidTr="002829F9">
        <w:tc>
          <w:tcPr>
            <w:tcW w:w="198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287E7F" w:rsidRPr="009C54AE" w:rsidTr="002829F9">
        <w:tc>
          <w:tcPr>
            <w:tcW w:w="1985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26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</w:tbl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E7F" w:rsidRPr="009C54AE" w:rsidRDefault="00287E7F" w:rsidP="00287E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87E7F" w:rsidRPr="009C54AE" w:rsidRDefault="00287E7F" w:rsidP="00287E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87E7F" w:rsidRPr="009C54AE" w:rsidTr="002829F9">
        <w:tc>
          <w:tcPr>
            <w:tcW w:w="9670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0039">
              <w:rPr>
                <w:rFonts w:ascii="Corbel" w:hAnsi="Corbel"/>
                <w:b w:val="0"/>
                <w:smallCaps w:val="0"/>
                <w:szCs w:val="24"/>
              </w:rPr>
              <w:t>Wykład: zaliczenie w formie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E7F" w:rsidRPr="009C54AE" w:rsidRDefault="00287E7F" w:rsidP="00287E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87E7F" w:rsidRPr="009C54AE" w:rsidTr="002829F9">
        <w:tc>
          <w:tcPr>
            <w:tcW w:w="4962" w:type="dxa"/>
            <w:vAlign w:val="center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87E7F" w:rsidRPr="009C54AE" w:rsidTr="002829F9">
        <w:tc>
          <w:tcPr>
            <w:tcW w:w="4962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87E7F" w:rsidRPr="009C54AE" w:rsidTr="002829F9">
        <w:tc>
          <w:tcPr>
            <w:tcW w:w="4962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87E7F" w:rsidRPr="009C54AE" w:rsidTr="002829F9">
        <w:tc>
          <w:tcPr>
            <w:tcW w:w="4962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przygotowanie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287E7F" w:rsidRPr="009C54AE" w:rsidTr="002829F9">
        <w:tc>
          <w:tcPr>
            <w:tcW w:w="4962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287E7F" w:rsidRPr="009C54AE" w:rsidTr="002829F9">
        <w:tc>
          <w:tcPr>
            <w:tcW w:w="4962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287E7F" w:rsidRPr="009C54AE" w:rsidRDefault="00287E7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87E7F" w:rsidRPr="009C54AE" w:rsidRDefault="00287E7F" w:rsidP="00287E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287E7F" w:rsidRPr="009C54AE" w:rsidRDefault="00287E7F" w:rsidP="00287E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87E7F" w:rsidRPr="009C54AE" w:rsidTr="002829F9">
        <w:trPr>
          <w:trHeight w:val="397"/>
        </w:trPr>
        <w:tc>
          <w:tcPr>
            <w:tcW w:w="3544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87E7F" w:rsidRPr="009C54AE" w:rsidTr="002829F9">
        <w:trPr>
          <w:trHeight w:val="397"/>
        </w:trPr>
        <w:tc>
          <w:tcPr>
            <w:tcW w:w="3544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287E7F" w:rsidRPr="009C54AE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87E7F" w:rsidRPr="009C54AE" w:rsidRDefault="00287E7F" w:rsidP="00287E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287E7F" w:rsidRPr="009C54AE" w:rsidRDefault="00287E7F" w:rsidP="00287E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87E7F" w:rsidRPr="008E5568" w:rsidTr="002829F9">
        <w:trPr>
          <w:trHeight w:val="397"/>
        </w:trPr>
        <w:tc>
          <w:tcPr>
            <w:tcW w:w="7513" w:type="dxa"/>
          </w:tcPr>
          <w:p w:rsidR="00287E7F" w:rsidRDefault="00287E7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87E7F" w:rsidRPr="00850039" w:rsidRDefault="00287E7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50039">
              <w:rPr>
                <w:rFonts w:ascii="Corbel" w:hAnsi="Corbel"/>
                <w:sz w:val="24"/>
                <w:szCs w:val="24"/>
              </w:rPr>
              <w:t>Pasternak J., Perenc L.,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0039">
              <w:rPr>
                <w:rFonts w:ascii="Corbel" w:hAnsi="Corbel"/>
                <w:sz w:val="24"/>
                <w:szCs w:val="24"/>
              </w:rPr>
              <w:t>Radochoński M. Podstawy psychopatologii dla pedagogów. Wydawnictwo UR, Rzeszów, 2017.</w:t>
            </w:r>
          </w:p>
          <w:p w:rsidR="00287E7F" w:rsidRPr="00850039" w:rsidRDefault="00287E7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50039">
              <w:rPr>
                <w:rFonts w:ascii="Corbel" w:hAnsi="Corbel"/>
                <w:sz w:val="24"/>
                <w:szCs w:val="24"/>
              </w:rPr>
              <w:t>Cierpiałkowska L. Psychopatologia. Warszawa, Wydawnictwo Naukowe SCHOLAR, 2018.</w:t>
            </w:r>
          </w:p>
          <w:p w:rsidR="00287E7F" w:rsidRPr="00850039" w:rsidRDefault="00287E7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850039">
              <w:rPr>
                <w:rFonts w:ascii="Corbel" w:hAnsi="Corbel"/>
                <w:b w:val="0"/>
                <w:smallCaps w:val="0"/>
                <w:szCs w:val="24"/>
              </w:rPr>
              <w:t>Gmitrowicz A., Janas-Kozik M. Zaburzenia psychiczne dzieci i młodzieży. Medical Tribune, Warszawa, 2018.</w:t>
            </w:r>
          </w:p>
          <w:p w:rsidR="00287E7F" w:rsidRPr="00850039" w:rsidRDefault="00287E7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850039">
              <w:rPr>
                <w:rFonts w:ascii="Corbel" w:hAnsi="Corbel"/>
                <w:b w:val="0"/>
                <w:smallCaps w:val="0"/>
                <w:szCs w:val="24"/>
              </w:rPr>
              <w:t>Kiejna A., Małyszczak K. Psychiatria. Podręcznik akademicki. Uniwersytet Medyczny Wrocław, 2016.</w:t>
            </w:r>
          </w:p>
          <w:p w:rsidR="00287E7F" w:rsidRPr="00850039" w:rsidRDefault="00287E7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85003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Komender J. Wolańczyk T. Zaburzenia emocjonalne i behawioralne u dzieci. PZWL, Warszawa, 2017.</w:t>
            </w:r>
          </w:p>
          <w:p w:rsidR="00287E7F" w:rsidRPr="00850039" w:rsidRDefault="00287E7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850039">
              <w:rPr>
                <w:rFonts w:ascii="Corbel" w:hAnsi="Corbel"/>
                <w:b w:val="0"/>
                <w:smallCaps w:val="0"/>
                <w:szCs w:val="24"/>
              </w:rPr>
              <w:t>Krajewska-Kułak E., Kędziora-Kornatowska K., Cybulski M., Waszkiewicz N. Psychogeriatria. PZWL, Warszawa, 2017.</w:t>
            </w:r>
          </w:p>
          <w:p w:rsidR="00287E7F" w:rsidRPr="00850039" w:rsidRDefault="00287E7F" w:rsidP="002829F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A78B4">
              <w:rPr>
                <w:rFonts w:ascii="Corbel" w:hAnsi="Corbel"/>
                <w:sz w:val="24"/>
                <w:szCs w:val="24"/>
              </w:rPr>
              <w:t xml:space="preserve">Rosenhan D., L., Walker E., F., Seligman M.,E., P. Psychopatologia. </w:t>
            </w:r>
            <w:r w:rsidRPr="00850039">
              <w:rPr>
                <w:rFonts w:ascii="Corbel" w:hAnsi="Corbel"/>
                <w:sz w:val="24"/>
                <w:szCs w:val="24"/>
              </w:rPr>
              <w:t>Zysk I Ska, Poznań, 2017.</w:t>
            </w:r>
          </w:p>
        </w:tc>
      </w:tr>
      <w:tr w:rsidR="00287E7F" w:rsidRPr="008E5568" w:rsidTr="002829F9">
        <w:trPr>
          <w:trHeight w:val="397"/>
        </w:trPr>
        <w:tc>
          <w:tcPr>
            <w:tcW w:w="7513" w:type="dxa"/>
          </w:tcPr>
          <w:p w:rsidR="00287E7F" w:rsidRDefault="00287E7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287E7F" w:rsidRDefault="00287E7F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8E5568">
              <w:rPr>
                <w:rFonts w:ascii="Corbel" w:hAnsi="Corbel"/>
                <w:b w:val="0"/>
                <w:smallCaps w:val="0"/>
                <w:szCs w:val="24"/>
              </w:rPr>
              <w:t xml:space="preserve">de Barbaro B., Jakob G., Lieb K., Berger M. Trudne dialogi,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rozmowy psychiatrów i psychoterapeutów z pacjentami. Edra Urban &amp; Partner, Wrocław, 2019.</w:t>
            </w:r>
          </w:p>
          <w:p w:rsidR="00287E7F" w:rsidRPr="00EB266A" w:rsidRDefault="00287E7F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EB266A">
              <w:rPr>
                <w:rFonts w:ascii="Corbel" w:hAnsi="Corbel"/>
                <w:sz w:val="24"/>
                <w:szCs w:val="24"/>
              </w:rPr>
              <w:t>Jablow M. Anoreksja, bulimia, otyłość. GWP, Gdańsk, 2000.</w:t>
            </w:r>
          </w:p>
          <w:p w:rsidR="00287E7F" w:rsidRPr="00EB266A" w:rsidRDefault="00287E7F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EB266A">
              <w:rPr>
                <w:rFonts w:ascii="Corbel" w:hAnsi="Corbel"/>
                <w:bCs/>
                <w:sz w:val="24"/>
                <w:szCs w:val="24"/>
              </w:rPr>
              <w:t>Kazdin A. Weisz J. -  Psychoterapia dzieci i młodzieży. Kraków, Wyd. UJ, 2006.</w:t>
            </w:r>
          </w:p>
          <w:p w:rsidR="00287E7F" w:rsidRDefault="00287E7F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Kirsch I. Nowe leki cesarza. Demaskowanie mitu antydepresantów. Instytut Psychologii Zdrowia, Warszawa, 2011.</w:t>
            </w:r>
          </w:p>
          <w:p w:rsidR="00287E7F" w:rsidRDefault="00287E7F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EB266A">
              <w:rPr>
                <w:rFonts w:ascii="Corbel" w:hAnsi="Corbel"/>
                <w:sz w:val="24"/>
                <w:szCs w:val="24"/>
              </w:rPr>
              <w:t xml:space="preserve">Kołakowski A. ADHD - zespół nadpobudliwości psychoruchowej : przewodnik dla rodziców i wychowawców. Gdańskie Wydawnictwo Psychologiczne, Sopot, 2012. </w:t>
            </w:r>
          </w:p>
          <w:p w:rsidR="00287E7F" w:rsidRPr="00EB266A" w:rsidRDefault="00287E7F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EB266A">
              <w:rPr>
                <w:rFonts w:ascii="Corbel" w:hAnsi="Corbel"/>
                <w:sz w:val="24"/>
                <w:szCs w:val="24"/>
              </w:rPr>
              <w:t>Marcelli D. Psychopatologia wieku dziecięcego. Wrocław, Elsevier Urban &amp; Partner, 2013.</w:t>
            </w:r>
          </w:p>
          <w:p w:rsidR="00287E7F" w:rsidRDefault="00287E7F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Namysłowska I. Psychiatria dzieci i młodzieży, PZWL, Warszawa, 2015.</w:t>
            </w:r>
          </w:p>
          <w:p w:rsidR="00287E7F" w:rsidRDefault="00287E7F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7E1F90">
              <w:rPr>
                <w:rFonts w:ascii="Corbel" w:hAnsi="Corbel"/>
                <w:sz w:val="24"/>
                <w:szCs w:val="24"/>
                <w:lang w:val="en-US"/>
              </w:rPr>
              <w:t xml:space="preserve">Randall P. Parker J. Autyzm. </w:t>
            </w:r>
            <w:r w:rsidRPr="00EB266A">
              <w:rPr>
                <w:rFonts w:ascii="Corbel" w:hAnsi="Corbel"/>
                <w:sz w:val="24"/>
                <w:szCs w:val="24"/>
              </w:rPr>
              <w:t>Jak pomóc rodzinie. GWP, Gdańsk, 1999.</w:t>
            </w:r>
          </w:p>
          <w:p w:rsidR="00287E7F" w:rsidRPr="003C0C45" w:rsidRDefault="00287E7F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Rybakowski F. Depresje u osób młodych. </w:t>
            </w:r>
            <w:r w:rsidRPr="003C0C45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Medical Education, Warszawa, 2018.</w:t>
            </w:r>
          </w:p>
          <w:p w:rsidR="00287E7F" w:rsidRDefault="00287E7F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3C0C45">
              <w:rPr>
                <w:rFonts w:ascii="Corbel" w:hAnsi="Corbel"/>
                <w:sz w:val="24"/>
                <w:szCs w:val="24"/>
                <w:lang w:val="en-US"/>
              </w:rPr>
              <w:t xml:space="preserve">Sęk H. (red). </w:t>
            </w:r>
            <w:r w:rsidRPr="00EB266A">
              <w:rPr>
                <w:rFonts w:ascii="Corbel" w:hAnsi="Corbel"/>
                <w:sz w:val="24"/>
                <w:szCs w:val="24"/>
              </w:rPr>
              <w:t>Psychologia kliniczna t 1 i 2. PWN, Warszawa, 2013.</w:t>
            </w:r>
          </w:p>
          <w:p w:rsidR="00287E7F" w:rsidRPr="00EB266A" w:rsidRDefault="00287E7F" w:rsidP="002829F9">
            <w:pPr>
              <w:spacing w:after="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EB266A">
              <w:rPr>
                <w:rFonts w:ascii="Corbel" w:hAnsi="Corbel"/>
                <w:sz w:val="24"/>
                <w:szCs w:val="24"/>
              </w:rPr>
              <w:t>Stirling J.S., Hellewell J.S.E. Psychopatologia, Gdańskie Wydawnictwo Psychologiczne, Gdańsk, 2005.</w:t>
            </w:r>
          </w:p>
          <w:p w:rsidR="00287E7F" w:rsidRDefault="00287E7F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Szulc A., Gałeckii P. Psychiatria.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Edra Urban &amp; Partner, Wrocław, 2018.</w:t>
            </w:r>
          </w:p>
          <w:p w:rsidR="00287E7F" w:rsidRDefault="00287E7F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Szulc A., Wciórka J., Rymaszewska J., Pilecki M., Gałecki P., Sidorowicz S. Kryteria diagnostyczne zaburzeń psychicznych DSM-5,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Edra Urban &amp; Partner, Wrocław, 2018.</w:t>
            </w:r>
          </w:p>
          <w:p w:rsidR="00287E7F" w:rsidRPr="00850039" w:rsidRDefault="00287E7F" w:rsidP="002829F9">
            <w:pPr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EB266A">
              <w:rPr>
                <w:rFonts w:ascii="Corbel" w:hAnsi="Corbel"/>
                <w:sz w:val="24"/>
                <w:szCs w:val="24"/>
              </w:rPr>
              <w:t>Wolańczyk T., Kolakowski A., Skotnicka M. Nadpobudliwość psychoruchowa u dzieci.   Wyd. BiFolium, Lublin 1999.</w:t>
            </w:r>
          </w:p>
        </w:tc>
      </w:tr>
    </w:tbl>
    <w:p w:rsidR="00287E7F" w:rsidRPr="008E5568" w:rsidRDefault="00287E7F" w:rsidP="00287E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7E7F" w:rsidRPr="008E5568" w:rsidRDefault="00287E7F" w:rsidP="00287E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7E7F" w:rsidRPr="009C54AE" w:rsidRDefault="00287E7F" w:rsidP="00287E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8B6" w:rsidRDefault="003D28B6" w:rsidP="00287E7F">
      <w:pPr>
        <w:spacing w:after="0" w:line="240" w:lineRule="auto"/>
      </w:pPr>
      <w:r>
        <w:separator/>
      </w:r>
    </w:p>
  </w:endnote>
  <w:endnote w:type="continuationSeparator" w:id="0">
    <w:p w:rsidR="003D28B6" w:rsidRDefault="003D28B6" w:rsidP="00287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8B6" w:rsidRDefault="003D28B6" w:rsidP="00287E7F">
      <w:pPr>
        <w:spacing w:after="0" w:line="240" w:lineRule="auto"/>
      </w:pPr>
      <w:r>
        <w:separator/>
      </w:r>
    </w:p>
  </w:footnote>
  <w:footnote w:type="continuationSeparator" w:id="0">
    <w:p w:rsidR="003D28B6" w:rsidRDefault="003D28B6" w:rsidP="00287E7F">
      <w:pPr>
        <w:spacing w:after="0" w:line="240" w:lineRule="auto"/>
      </w:pPr>
      <w:r>
        <w:continuationSeparator/>
      </w:r>
    </w:p>
  </w:footnote>
  <w:footnote w:id="1">
    <w:p w:rsidR="00287E7F" w:rsidRDefault="00287E7F" w:rsidP="00287E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A69A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E7F"/>
    <w:rsid w:val="00287E7F"/>
    <w:rsid w:val="00342D1A"/>
    <w:rsid w:val="003D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F3E76-C2DA-4381-A7B5-97B42F60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7E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7E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87E7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E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87E7F"/>
    <w:rPr>
      <w:vertAlign w:val="superscript"/>
    </w:rPr>
  </w:style>
  <w:style w:type="paragraph" w:customStyle="1" w:styleId="Punktygwne">
    <w:name w:val="Punkty główne"/>
    <w:basedOn w:val="Normalny"/>
    <w:rsid w:val="00287E7F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287E7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87E7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87E7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287E7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87E7F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287E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87E7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287E7F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7E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7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1120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2024-06-11T16:41:00Z</dcterms:created>
  <dcterms:modified xsi:type="dcterms:W3CDTF">2024-06-11T16:41:00Z</dcterms:modified>
</cp:coreProperties>
</file>